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DD2" w:rsidRDefault="00117DD2" w:rsidP="00117DD2">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117DD2" w:rsidRDefault="00117DD2" w:rsidP="00117DD2">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117DD2" w:rsidRDefault="00117DD2" w:rsidP="00117DD2">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117DD2" w:rsidRDefault="00117DD2" w:rsidP="00117DD2">
      <w:pPr>
        <w:widowControl w:val="0"/>
        <w:overflowPunct w:val="0"/>
        <w:autoSpaceDE w:val="0"/>
        <w:autoSpaceDN w:val="0"/>
        <w:adjustRightInd w:val="0"/>
        <w:jc w:val="center"/>
        <w:rPr>
          <w:b/>
          <w:bCs/>
          <w:kern w:val="28"/>
          <w:sz w:val="28"/>
          <w:szCs w:val="28"/>
        </w:rPr>
      </w:pPr>
    </w:p>
    <w:p w:rsidR="00117DD2" w:rsidRDefault="00117DD2" w:rsidP="00117DD2">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117DD2" w:rsidRDefault="00117DD2" w:rsidP="00117DD2">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Pr>
          <w:rFonts w:ascii="Arial" w:hAnsi="Arial" w:cs="Arial"/>
          <w:kern w:val="28"/>
          <w:sz w:val="22"/>
          <w:szCs w:val="22"/>
        </w:rPr>
        <w:t>Séance du 2 Août 2018</w:t>
      </w:r>
    </w:p>
    <w:p w:rsidR="00117DD2" w:rsidRDefault="00117DD2" w:rsidP="00117DD2">
      <w:pPr>
        <w:widowControl w:val="0"/>
        <w:overflowPunct w:val="0"/>
        <w:autoSpaceDE w:val="0"/>
        <w:autoSpaceDN w:val="0"/>
        <w:adjustRightInd w:val="0"/>
        <w:jc w:val="center"/>
        <w:rPr>
          <w:rFonts w:ascii="Arial" w:hAnsi="Arial" w:cs="Arial"/>
          <w:b/>
          <w:kern w:val="28"/>
        </w:rPr>
      </w:pPr>
    </w:p>
    <w:p w:rsidR="00117DD2" w:rsidRDefault="00117DD2" w:rsidP="00117DD2">
      <w:pPr>
        <w:widowControl w:val="0"/>
        <w:overflowPunct w:val="0"/>
        <w:autoSpaceDE w:val="0"/>
        <w:autoSpaceDN w:val="0"/>
        <w:adjustRightInd w:val="0"/>
        <w:jc w:val="both"/>
        <w:rPr>
          <w:kern w:val="28"/>
          <w:sz w:val="18"/>
          <w:szCs w:val="18"/>
        </w:rPr>
      </w:pPr>
      <w:bookmarkStart w:id="0" w:name="_Hlk500248565"/>
    </w:p>
    <w:p w:rsidR="00117DD2" w:rsidRDefault="00117DD2" w:rsidP="00117DD2">
      <w:pPr>
        <w:widowControl w:val="0"/>
        <w:overflowPunct w:val="0"/>
        <w:autoSpaceDE w:val="0"/>
        <w:autoSpaceDN w:val="0"/>
        <w:adjustRightInd w:val="0"/>
        <w:jc w:val="both"/>
        <w:rPr>
          <w:kern w:val="28"/>
          <w:sz w:val="18"/>
          <w:szCs w:val="18"/>
        </w:rPr>
      </w:pPr>
      <w:r>
        <w:rPr>
          <w:kern w:val="28"/>
          <w:sz w:val="18"/>
          <w:szCs w:val="18"/>
        </w:rPr>
        <w:t xml:space="preserve">Le Conseil Municipal, régulièrement convoqué le 26 juillet 2018, s'est réuni au nombre prescrit par la loi dans le lieu habituel de ses séances, </w:t>
      </w:r>
      <w:r>
        <w:rPr>
          <w:b/>
          <w:kern w:val="28"/>
          <w:sz w:val="18"/>
          <w:szCs w:val="18"/>
        </w:rPr>
        <w:t xml:space="preserve">le jeudi deux août deux mil dix-huit </w:t>
      </w:r>
      <w:r>
        <w:rPr>
          <w:kern w:val="28"/>
          <w:sz w:val="18"/>
          <w:szCs w:val="18"/>
        </w:rPr>
        <w:t xml:space="preserve">à dix-neuf heures trente, sous la présidence de </w:t>
      </w:r>
      <w:r>
        <w:rPr>
          <w:b/>
          <w:bCs/>
          <w:kern w:val="28"/>
          <w:sz w:val="18"/>
          <w:szCs w:val="18"/>
        </w:rPr>
        <w:t>Monsieur</w:t>
      </w:r>
      <w:r>
        <w:rPr>
          <w:kern w:val="28"/>
          <w:sz w:val="18"/>
          <w:szCs w:val="18"/>
        </w:rPr>
        <w:t xml:space="preserve"> </w:t>
      </w:r>
      <w:r>
        <w:rPr>
          <w:b/>
          <w:bCs/>
          <w:kern w:val="28"/>
          <w:sz w:val="18"/>
          <w:szCs w:val="18"/>
        </w:rPr>
        <w:t>GRANGER Luc, Maire</w:t>
      </w:r>
      <w:r>
        <w:rPr>
          <w:kern w:val="28"/>
          <w:sz w:val="18"/>
          <w:szCs w:val="18"/>
        </w:rPr>
        <w:t>.</w:t>
      </w:r>
    </w:p>
    <w:p w:rsidR="00117DD2" w:rsidRDefault="00117DD2" w:rsidP="00117DD2">
      <w:pPr>
        <w:widowControl w:val="0"/>
        <w:overflowPunct w:val="0"/>
        <w:autoSpaceDE w:val="0"/>
        <w:autoSpaceDN w:val="0"/>
        <w:adjustRightInd w:val="0"/>
        <w:jc w:val="both"/>
        <w:rPr>
          <w:kern w:val="28"/>
          <w:sz w:val="18"/>
          <w:szCs w:val="18"/>
        </w:rPr>
      </w:pPr>
    </w:p>
    <w:p w:rsidR="00117DD2" w:rsidRDefault="00117DD2" w:rsidP="00117DD2">
      <w:pPr>
        <w:widowControl w:val="0"/>
        <w:overflowPunct w:val="0"/>
        <w:autoSpaceDE w:val="0"/>
        <w:autoSpaceDN w:val="0"/>
        <w:adjustRightInd w:val="0"/>
        <w:jc w:val="both"/>
        <w:rPr>
          <w:kern w:val="28"/>
          <w:sz w:val="18"/>
          <w:szCs w:val="18"/>
        </w:rPr>
      </w:pPr>
      <w:r>
        <w:rPr>
          <w:b/>
          <w:bCs/>
          <w:kern w:val="28"/>
          <w:sz w:val="18"/>
          <w:szCs w:val="18"/>
          <w:u w:val="single"/>
        </w:rPr>
        <w:t>Etaient présents</w:t>
      </w:r>
      <w:r>
        <w:rPr>
          <w:kern w:val="28"/>
          <w:sz w:val="18"/>
          <w:szCs w:val="18"/>
        </w:rPr>
        <w:t xml:space="preserve"> : Mme de BEAUDIGNIES Sibylle, M. JAMI Bernard, M. THIOLAT Emile, M. BROSSE Dominique, M. DEGEST </w:t>
      </w:r>
      <w:r w:rsidR="005A23D5">
        <w:rPr>
          <w:kern w:val="28"/>
          <w:sz w:val="18"/>
          <w:szCs w:val="18"/>
        </w:rPr>
        <w:t>Christian, Mme</w:t>
      </w:r>
      <w:r>
        <w:rPr>
          <w:kern w:val="28"/>
          <w:sz w:val="18"/>
          <w:szCs w:val="18"/>
        </w:rPr>
        <w:t xml:space="preserve"> LEBERT Joëlle</w:t>
      </w:r>
      <w:r w:rsidR="002E04E0">
        <w:rPr>
          <w:kern w:val="28"/>
          <w:sz w:val="18"/>
          <w:szCs w:val="18"/>
        </w:rPr>
        <w:t>, Mr PLESSIS Jean-Pierre.</w:t>
      </w:r>
    </w:p>
    <w:p w:rsidR="00117DD2" w:rsidRDefault="00117DD2" w:rsidP="00117DD2">
      <w:pPr>
        <w:widowControl w:val="0"/>
        <w:overflowPunct w:val="0"/>
        <w:autoSpaceDE w:val="0"/>
        <w:autoSpaceDN w:val="0"/>
        <w:adjustRightInd w:val="0"/>
        <w:jc w:val="both"/>
        <w:rPr>
          <w:kern w:val="28"/>
          <w:sz w:val="18"/>
          <w:szCs w:val="18"/>
        </w:rPr>
      </w:pPr>
      <w:bookmarkStart w:id="1" w:name="_GoBack"/>
      <w:bookmarkEnd w:id="1"/>
    </w:p>
    <w:p w:rsidR="00117DD2" w:rsidRDefault="00117DD2" w:rsidP="00117DD2">
      <w:pPr>
        <w:widowControl w:val="0"/>
        <w:overflowPunct w:val="0"/>
        <w:autoSpaceDE w:val="0"/>
        <w:autoSpaceDN w:val="0"/>
        <w:adjustRightInd w:val="0"/>
        <w:jc w:val="both"/>
        <w:rPr>
          <w:kern w:val="28"/>
          <w:sz w:val="18"/>
          <w:szCs w:val="18"/>
        </w:rPr>
      </w:pPr>
      <w:r>
        <w:rPr>
          <w:b/>
          <w:bCs/>
          <w:kern w:val="28"/>
          <w:sz w:val="18"/>
          <w:szCs w:val="18"/>
          <w:u w:val="single"/>
        </w:rPr>
        <w:t>Absents excusés</w:t>
      </w:r>
      <w:r w:rsidR="002E04E0">
        <w:rPr>
          <w:kern w:val="28"/>
          <w:sz w:val="18"/>
          <w:szCs w:val="18"/>
        </w:rPr>
        <w:t> </w:t>
      </w:r>
      <w:bookmarkEnd w:id="0"/>
      <w:r w:rsidR="002E04E0">
        <w:rPr>
          <w:kern w:val="28"/>
          <w:sz w:val="18"/>
          <w:szCs w:val="18"/>
        </w:rPr>
        <w:t>:</w:t>
      </w:r>
      <w:r w:rsidR="002E04E0" w:rsidRPr="002E04E0">
        <w:rPr>
          <w:kern w:val="28"/>
          <w:sz w:val="18"/>
          <w:szCs w:val="18"/>
        </w:rPr>
        <w:t xml:space="preserve"> </w:t>
      </w:r>
      <w:r w:rsidR="002E04E0">
        <w:rPr>
          <w:kern w:val="28"/>
          <w:sz w:val="18"/>
          <w:szCs w:val="18"/>
        </w:rPr>
        <w:t xml:space="preserve">M. LETORD Michel </w:t>
      </w:r>
      <w:r w:rsidR="00591AFE">
        <w:rPr>
          <w:kern w:val="28"/>
          <w:sz w:val="18"/>
          <w:szCs w:val="18"/>
        </w:rPr>
        <w:t>(a donné pourvoir à Mr Luc GRANGER, Maire)</w:t>
      </w:r>
      <w:r w:rsidR="005A23D5">
        <w:rPr>
          <w:kern w:val="28"/>
          <w:sz w:val="18"/>
          <w:szCs w:val="18"/>
        </w:rPr>
        <w:t>, M. HUTIN Christian (a donné pouvoir à Mr Luc GRANGER, Maire).</w:t>
      </w:r>
    </w:p>
    <w:p w:rsidR="00117DD2" w:rsidRDefault="00117DD2" w:rsidP="00117DD2">
      <w:pPr>
        <w:autoSpaceDE w:val="0"/>
        <w:autoSpaceDN w:val="0"/>
        <w:adjustRightInd w:val="0"/>
        <w:rPr>
          <w:color w:val="000000"/>
          <w:sz w:val="18"/>
          <w:szCs w:val="18"/>
        </w:rPr>
      </w:pPr>
    </w:p>
    <w:p w:rsidR="00117DD2" w:rsidRDefault="00117DD2" w:rsidP="00117DD2">
      <w:pPr>
        <w:pStyle w:val="Standard"/>
        <w:rPr>
          <w:rFonts w:cs="Times New Roman"/>
          <w:color w:val="000000"/>
          <w:sz w:val="18"/>
          <w:szCs w:val="18"/>
        </w:rPr>
      </w:pPr>
    </w:p>
    <w:p w:rsidR="00117DD2" w:rsidRDefault="00117DD2" w:rsidP="00117DD2">
      <w:pPr>
        <w:widowControl w:val="0"/>
        <w:overflowPunct w:val="0"/>
        <w:autoSpaceDE w:val="0"/>
        <w:autoSpaceDN w:val="0"/>
        <w:adjustRightInd w:val="0"/>
        <w:jc w:val="both"/>
        <w:rPr>
          <w:b/>
          <w:bCs/>
          <w:iCs/>
          <w:kern w:val="28"/>
          <w:sz w:val="22"/>
          <w:szCs w:val="22"/>
          <w:u w:val="single"/>
        </w:rPr>
      </w:pPr>
      <w:r>
        <w:rPr>
          <w:b/>
          <w:bCs/>
          <w:iCs/>
          <w:kern w:val="28"/>
          <w:sz w:val="22"/>
          <w:szCs w:val="22"/>
          <w:u w:val="single"/>
        </w:rPr>
        <w:t>PROJET DE REMPLACEMENT DU TRACTEUR COMMUNAL</w:t>
      </w:r>
    </w:p>
    <w:p w:rsidR="00117DD2" w:rsidRDefault="00117DD2" w:rsidP="00117DD2">
      <w:pPr>
        <w:widowControl w:val="0"/>
        <w:overflowPunct w:val="0"/>
        <w:autoSpaceDE w:val="0"/>
        <w:autoSpaceDN w:val="0"/>
        <w:adjustRightInd w:val="0"/>
        <w:jc w:val="both"/>
        <w:rPr>
          <w:b/>
          <w:bCs/>
          <w:iCs/>
          <w:kern w:val="28"/>
          <w:sz w:val="22"/>
          <w:szCs w:val="22"/>
          <w:u w:val="single"/>
        </w:rPr>
      </w:pPr>
    </w:p>
    <w:p w:rsidR="00117DD2" w:rsidRDefault="00117DD2" w:rsidP="00117DD2">
      <w:pPr>
        <w:widowControl w:val="0"/>
        <w:overflowPunct w:val="0"/>
        <w:autoSpaceDE w:val="0"/>
        <w:autoSpaceDN w:val="0"/>
        <w:adjustRightInd w:val="0"/>
        <w:jc w:val="both"/>
        <w:rPr>
          <w:sz w:val="22"/>
          <w:szCs w:val="22"/>
        </w:rPr>
      </w:pPr>
      <w:r>
        <w:rPr>
          <w:bCs/>
          <w:iCs/>
          <w:kern w:val="28"/>
          <w:sz w:val="22"/>
          <w:szCs w:val="22"/>
        </w:rPr>
        <w:t>M</w:t>
      </w:r>
      <w:r>
        <w:rPr>
          <w:sz w:val="22"/>
          <w:szCs w:val="22"/>
        </w:rPr>
        <w:t>onsieur le Maire et l’ensemble du conseil municipal évoque l’état général du tracteur communal. De plus en plus de réparations sont à prévoir et sont faites actuellement, il va falloir penser à le changer car cela coûte trop cher en réparation.</w:t>
      </w:r>
      <w:r w:rsidR="00F647A1">
        <w:rPr>
          <w:sz w:val="22"/>
          <w:szCs w:val="22"/>
        </w:rPr>
        <w:t xml:space="preserve"> Afin de pouvoir investir dans un nouveau tracteur communal il faudra prévoir le budget nécessaire lors du budget prévisionnel de 2019 au compte 2182 qui correspond à l’imputation pour l’investissement de matériel de transport.</w:t>
      </w:r>
    </w:p>
    <w:p w:rsidR="00117DD2" w:rsidRDefault="00117DD2" w:rsidP="00117DD2">
      <w:pPr>
        <w:widowControl w:val="0"/>
        <w:overflowPunct w:val="0"/>
        <w:autoSpaceDE w:val="0"/>
        <w:autoSpaceDN w:val="0"/>
        <w:adjustRightInd w:val="0"/>
        <w:jc w:val="both"/>
        <w:rPr>
          <w:bCs/>
          <w:iCs/>
          <w:kern w:val="28"/>
          <w:sz w:val="22"/>
          <w:szCs w:val="22"/>
        </w:rPr>
      </w:pPr>
      <w:r>
        <w:rPr>
          <w:bCs/>
          <w:iCs/>
          <w:kern w:val="28"/>
          <w:sz w:val="22"/>
          <w:szCs w:val="22"/>
        </w:rPr>
        <w:t>Après avoir délibéré et voté, l’ensemble du conseil municipal décide d’investir dans un tracteur plus récent</w:t>
      </w:r>
      <w:r w:rsidR="00D546AB">
        <w:rPr>
          <w:bCs/>
          <w:iCs/>
          <w:kern w:val="28"/>
          <w:sz w:val="22"/>
          <w:szCs w:val="22"/>
        </w:rPr>
        <w:t xml:space="preserve"> et en fera l’acquisition l’année prochaine, après le vote du budget communal.</w:t>
      </w:r>
    </w:p>
    <w:p w:rsidR="00117DD2" w:rsidRDefault="00117DD2" w:rsidP="00117DD2">
      <w:pPr>
        <w:widowControl w:val="0"/>
        <w:overflowPunct w:val="0"/>
        <w:autoSpaceDE w:val="0"/>
        <w:autoSpaceDN w:val="0"/>
        <w:adjustRightInd w:val="0"/>
        <w:jc w:val="both"/>
        <w:rPr>
          <w:b/>
          <w:bCs/>
          <w:iCs/>
          <w:kern w:val="28"/>
          <w:sz w:val="22"/>
          <w:szCs w:val="22"/>
          <w:u w:val="single"/>
        </w:rPr>
      </w:pPr>
    </w:p>
    <w:p w:rsidR="00117DD2" w:rsidRDefault="00117DD2" w:rsidP="00117DD2">
      <w:pPr>
        <w:widowControl w:val="0"/>
        <w:overflowPunct w:val="0"/>
        <w:autoSpaceDE w:val="0"/>
        <w:autoSpaceDN w:val="0"/>
        <w:adjustRightInd w:val="0"/>
        <w:jc w:val="both"/>
        <w:rPr>
          <w:b/>
          <w:bCs/>
          <w:iCs/>
          <w:kern w:val="28"/>
          <w:sz w:val="22"/>
          <w:szCs w:val="22"/>
          <w:u w:val="single"/>
        </w:rPr>
      </w:pPr>
      <w:r>
        <w:rPr>
          <w:b/>
          <w:bCs/>
          <w:iCs/>
          <w:kern w:val="28"/>
          <w:sz w:val="22"/>
          <w:szCs w:val="22"/>
          <w:u w:val="single"/>
        </w:rPr>
        <w:t>QUESTIONS DIVERSES</w:t>
      </w:r>
    </w:p>
    <w:p w:rsidR="001639DE" w:rsidRPr="00B900B5" w:rsidRDefault="001639DE" w:rsidP="00782B57">
      <w:pPr>
        <w:widowControl w:val="0"/>
        <w:overflowPunct w:val="0"/>
        <w:autoSpaceDE w:val="0"/>
        <w:autoSpaceDN w:val="0"/>
        <w:adjustRightInd w:val="0"/>
        <w:jc w:val="both"/>
        <w:rPr>
          <w:bCs/>
          <w:iCs/>
          <w:kern w:val="28"/>
          <w:sz w:val="22"/>
          <w:szCs w:val="22"/>
        </w:rPr>
      </w:pPr>
    </w:p>
    <w:p w:rsidR="00782B57" w:rsidRDefault="00FB13C7" w:rsidP="00782B57">
      <w:pPr>
        <w:widowControl w:val="0"/>
        <w:overflowPunct w:val="0"/>
        <w:autoSpaceDE w:val="0"/>
        <w:autoSpaceDN w:val="0"/>
        <w:adjustRightInd w:val="0"/>
        <w:jc w:val="both"/>
        <w:rPr>
          <w:b/>
          <w:bCs/>
          <w:iCs/>
          <w:kern w:val="28"/>
          <w:sz w:val="22"/>
          <w:szCs w:val="22"/>
          <w:u w:val="single"/>
        </w:rPr>
      </w:pPr>
      <w:r>
        <w:rPr>
          <w:b/>
          <w:bCs/>
          <w:iCs/>
          <w:kern w:val="28"/>
          <w:sz w:val="22"/>
          <w:szCs w:val="22"/>
          <w:u w:val="single"/>
        </w:rPr>
        <w:t>PRESENTATION ET DELIBERATION DU RAPPORT DE LA CLECT</w:t>
      </w:r>
    </w:p>
    <w:p w:rsidR="000625C2" w:rsidRDefault="000625C2" w:rsidP="000625C2">
      <w:pPr>
        <w:widowControl w:val="0"/>
        <w:overflowPunct w:val="0"/>
        <w:autoSpaceDE w:val="0"/>
        <w:autoSpaceDN w:val="0"/>
        <w:adjustRightInd w:val="0"/>
        <w:jc w:val="both"/>
        <w:rPr>
          <w:b/>
          <w:bCs/>
          <w:iCs/>
          <w:kern w:val="28"/>
          <w:sz w:val="22"/>
          <w:szCs w:val="22"/>
          <w:u w:val="single"/>
        </w:rPr>
      </w:pPr>
    </w:p>
    <w:p w:rsidR="00B263F2" w:rsidRPr="000625C2" w:rsidRDefault="000625C2" w:rsidP="000625C2">
      <w:pPr>
        <w:widowControl w:val="0"/>
        <w:overflowPunct w:val="0"/>
        <w:autoSpaceDE w:val="0"/>
        <w:autoSpaceDN w:val="0"/>
        <w:adjustRightInd w:val="0"/>
        <w:jc w:val="both"/>
        <w:rPr>
          <w:sz w:val="22"/>
          <w:szCs w:val="22"/>
        </w:rPr>
      </w:pPr>
      <w:r>
        <w:rPr>
          <w:bCs/>
          <w:iCs/>
          <w:kern w:val="28"/>
          <w:sz w:val="22"/>
          <w:szCs w:val="22"/>
        </w:rPr>
        <w:t xml:space="preserve">Vu le rapport </w:t>
      </w:r>
      <w:proofErr w:type="spellStart"/>
      <w:r>
        <w:rPr>
          <w:bCs/>
          <w:iCs/>
          <w:kern w:val="28"/>
          <w:sz w:val="22"/>
          <w:szCs w:val="22"/>
        </w:rPr>
        <w:t>rapport</w:t>
      </w:r>
      <w:proofErr w:type="spellEnd"/>
      <w:r>
        <w:rPr>
          <w:bCs/>
          <w:iCs/>
          <w:kern w:val="28"/>
          <w:sz w:val="22"/>
          <w:szCs w:val="22"/>
        </w:rPr>
        <w:t xml:space="preserve"> de la Commission Locale d’Evaluation des Charges Transférées de la Communauté du Perche et Haut Vendômois (CLECT) qui s’est réunie le 9 juillet 2018, </w:t>
      </w:r>
      <w:r>
        <w:rPr>
          <w:sz w:val="22"/>
          <w:szCs w:val="22"/>
        </w:rPr>
        <w:t>Mr l</w:t>
      </w:r>
      <w:r w:rsidR="00B263F2" w:rsidRPr="000625C2">
        <w:rPr>
          <w:sz w:val="22"/>
          <w:szCs w:val="22"/>
        </w:rPr>
        <w:t>e Maire rappelle aux membres du conseil municipal que la Communauté du Perche &amp; Haut Vendômois (CPHV) assure depuis le 1</w:t>
      </w:r>
      <w:r w:rsidR="00B263F2" w:rsidRPr="000625C2">
        <w:rPr>
          <w:sz w:val="22"/>
          <w:szCs w:val="22"/>
          <w:vertAlign w:val="superscript"/>
        </w:rPr>
        <w:t>er</w:t>
      </w:r>
      <w:r w:rsidR="00B263F2" w:rsidRPr="000625C2">
        <w:rPr>
          <w:sz w:val="22"/>
          <w:szCs w:val="22"/>
        </w:rPr>
        <w:t xml:space="preserve"> janvier 2018 les politiques liées à la compétence Gestion des Milieux Aquatiques et Prévention des Inondations (GEMAPI) sur son territoire.</w:t>
      </w:r>
    </w:p>
    <w:p w:rsidR="00B263F2" w:rsidRPr="000625C2" w:rsidRDefault="00B263F2" w:rsidP="00B263F2">
      <w:pPr>
        <w:jc w:val="both"/>
        <w:rPr>
          <w:sz w:val="22"/>
          <w:szCs w:val="22"/>
        </w:rPr>
      </w:pPr>
    </w:p>
    <w:p w:rsidR="00B263F2" w:rsidRPr="000625C2" w:rsidRDefault="000625C2" w:rsidP="00B263F2">
      <w:pPr>
        <w:jc w:val="both"/>
        <w:rPr>
          <w:sz w:val="22"/>
          <w:szCs w:val="22"/>
        </w:rPr>
      </w:pPr>
      <w:r>
        <w:rPr>
          <w:sz w:val="22"/>
          <w:szCs w:val="22"/>
        </w:rPr>
        <w:t>Mr l</w:t>
      </w:r>
      <w:r w:rsidR="00B263F2" w:rsidRPr="000625C2">
        <w:rPr>
          <w:sz w:val="22"/>
          <w:szCs w:val="22"/>
        </w:rPr>
        <w:t>e Maire rend compte du rapport de la réunion du 9 juillet 2018 de la Commission Locale d’Evaluation des Charges Transférées (CLECT) de la CPHV qui a statué sur l’évaluation du transfert de charges intervenant dans ce cadre.</w:t>
      </w:r>
    </w:p>
    <w:p w:rsidR="000625C2" w:rsidRDefault="000625C2" w:rsidP="00782B57">
      <w:pPr>
        <w:widowControl w:val="0"/>
        <w:overflowPunct w:val="0"/>
        <w:autoSpaceDE w:val="0"/>
        <w:autoSpaceDN w:val="0"/>
        <w:adjustRightInd w:val="0"/>
        <w:jc w:val="both"/>
        <w:rPr>
          <w:bCs/>
          <w:iCs/>
          <w:kern w:val="28"/>
          <w:sz w:val="22"/>
          <w:szCs w:val="22"/>
        </w:rPr>
      </w:pPr>
    </w:p>
    <w:tbl>
      <w:tblPr>
        <w:tblW w:w="9672" w:type="dxa"/>
        <w:tblCellMar>
          <w:left w:w="70" w:type="dxa"/>
          <w:right w:w="70" w:type="dxa"/>
        </w:tblCellMar>
        <w:tblLook w:val="04A0" w:firstRow="1" w:lastRow="0" w:firstColumn="1" w:lastColumn="0" w:noHBand="0" w:noVBand="1"/>
      </w:tblPr>
      <w:tblGrid>
        <w:gridCol w:w="1726"/>
        <w:gridCol w:w="862"/>
        <w:gridCol w:w="862"/>
        <w:gridCol w:w="862"/>
        <w:gridCol w:w="986"/>
        <w:gridCol w:w="740"/>
        <w:gridCol w:w="862"/>
        <w:gridCol w:w="986"/>
        <w:gridCol w:w="923"/>
        <w:gridCol w:w="863"/>
      </w:tblGrid>
      <w:tr w:rsidR="000625C2" w:rsidTr="000625C2">
        <w:trPr>
          <w:trHeight w:val="527"/>
        </w:trPr>
        <w:tc>
          <w:tcPr>
            <w:tcW w:w="1726"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NOM de la collectivité</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EPCI-FP</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Surface Totale (ha)</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 de la surface sur le bassin versant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Surface sur le bassin</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Pop DGF</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Pop DGF</w:t>
            </w:r>
            <w:r>
              <w:rPr>
                <w:rFonts w:ascii="Arial" w:hAnsi="Arial" w:cs="Arial"/>
                <w:sz w:val="16"/>
                <w:szCs w:val="16"/>
                <w:lang w:eastAsia="en-US"/>
              </w:rPr>
              <w:br/>
              <w:t>sur le bassin</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 xml:space="preserve">Linéaire berge principal </w:t>
            </w:r>
            <w:r>
              <w:rPr>
                <w:rFonts w:ascii="Arial" w:hAnsi="Arial" w:cs="Arial"/>
                <w:sz w:val="16"/>
                <w:szCs w:val="16"/>
                <w:lang w:eastAsia="en-US"/>
              </w:rPr>
              <w:br/>
              <w:t>en m</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Linéaire berge secondaire en m</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Transfert de charges</w:t>
            </w:r>
          </w:p>
          <w:p w:rsidR="000625C2" w:rsidRDefault="000625C2">
            <w:pPr>
              <w:spacing w:line="256" w:lineRule="auto"/>
              <w:jc w:val="center"/>
              <w:rPr>
                <w:rFonts w:ascii="Arial" w:hAnsi="Arial" w:cs="Arial"/>
                <w:sz w:val="16"/>
                <w:szCs w:val="16"/>
                <w:lang w:eastAsia="en-US"/>
              </w:rPr>
            </w:pPr>
            <w:r>
              <w:rPr>
                <w:rFonts w:ascii="Arial" w:hAnsi="Arial" w:cs="Arial"/>
                <w:sz w:val="16"/>
                <w:szCs w:val="16"/>
                <w:lang w:eastAsia="en-US"/>
              </w:rPr>
              <w:t>GEMAPI</w:t>
            </w:r>
          </w:p>
        </w:tc>
      </w:tr>
      <w:tr w:rsidR="000625C2" w:rsidTr="000625C2">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5C2" w:rsidRDefault="000625C2">
            <w:pPr>
              <w:spacing w:line="256" w:lineRule="auto"/>
              <w:rPr>
                <w:rFonts w:ascii="Arial" w:hAnsi="Arial" w:cs="Arial"/>
                <w:sz w:val="16"/>
                <w:szCs w:val="16"/>
                <w:lang w:eastAsia="en-US"/>
              </w:rPr>
            </w:pPr>
          </w:p>
        </w:tc>
      </w:tr>
      <w:tr w:rsidR="000625C2" w:rsidTr="000625C2">
        <w:trPr>
          <w:trHeight w:val="211"/>
        </w:trPr>
        <w:tc>
          <w:tcPr>
            <w:tcW w:w="1726" w:type="dxa"/>
            <w:tcBorders>
              <w:top w:val="nil"/>
              <w:left w:val="single" w:sz="4" w:space="0" w:color="auto"/>
              <w:bottom w:val="single" w:sz="4" w:space="0" w:color="auto"/>
              <w:right w:val="single" w:sz="4" w:space="0" w:color="auto"/>
            </w:tcBorders>
            <w:noWrap/>
            <w:vAlign w:val="bottom"/>
            <w:hideMark/>
          </w:tcPr>
          <w:p w:rsidR="000625C2" w:rsidRDefault="000625C2">
            <w:pPr>
              <w:spacing w:line="256" w:lineRule="auto"/>
              <w:rPr>
                <w:rFonts w:ascii="Arial" w:hAnsi="Arial" w:cs="Arial"/>
                <w:b/>
                <w:bCs/>
                <w:sz w:val="16"/>
                <w:szCs w:val="16"/>
                <w:lang w:eastAsia="en-US"/>
              </w:rPr>
            </w:pPr>
            <w:r>
              <w:rPr>
                <w:rFonts w:ascii="Arial" w:hAnsi="Arial" w:cs="Arial"/>
                <w:b/>
                <w:bCs/>
                <w:sz w:val="16"/>
                <w:szCs w:val="16"/>
                <w:lang w:eastAsia="en-US"/>
              </w:rPr>
              <w:t>Fontaine-Raoul</w:t>
            </w:r>
          </w:p>
        </w:tc>
        <w:tc>
          <w:tcPr>
            <w:tcW w:w="862"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CCPHV</w:t>
            </w:r>
          </w:p>
        </w:tc>
        <w:tc>
          <w:tcPr>
            <w:tcW w:w="862"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2 201</w:t>
            </w:r>
          </w:p>
        </w:tc>
        <w:tc>
          <w:tcPr>
            <w:tcW w:w="862"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100</w:t>
            </w:r>
          </w:p>
        </w:tc>
        <w:tc>
          <w:tcPr>
            <w:tcW w:w="986"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2 201</w:t>
            </w:r>
          </w:p>
        </w:tc>
        <w:tc>
          <w:tcPr>
            <w:tcW w:w="740"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264</w:t>
            </w:r>
          </w:p>
        </w:tc>
        <w:tc>
          <w:tcPr>
            <w:tcW w:w="862"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264</w:t>
            </w:r>
          </w:p>
        </w:tc>
        <w:tc>
          <w:tcPr>
            <w:tcW w:w="986"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692</w:t>
            </w:r>
          </w:p>
        </w:tc>
        <w:tc>
          <w:tcPr>
            <w:tcW w:w="923"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4 390</w:t>
            </w:r>
          </w:p>
        </w:tc>
        <w:tc>
          <w:tcPr>
            <w:tcW w:w="863" w:type="dxa"/>
            <w:tcBorders>
              <w:top w:val="nil"/>
              <w:left w:val="nil"/>
              <w:bottom w:val="single" w:sz="4" w:space="0" w:color="auto"/>
              <w:right w:val="single" w:sz="4" w:space="0" w:color="auto"/>
            </w:tcBorders>
            <w:noWrap/>
            <w:vAlign w:val="bottom"/>
            <w:hideMark/>
          </w:tcPr>
          <w:p w:rsidR="000625C2" w:rsidRDefault="000625C2">
            <w:pPr>
              <w:spacing w:line="256" w:lineRule="auto"/>
              <w:rPr>
                <w:rFonts w:ascii="Arial" w:hAnsi="Arial" w:cs="Arial"/>
                <w:sz w:val="16"/>
                <w:szCs w:val="16"/>
                <w:lang w:eastAsia="en-US"/>
              </w:rPr>
            </w:pPr>
            <w:r>
              <w:rPr>
                <w:rFonts w:ascii="Arial" w:hAnsi="Arial" w:cs="Arial"/>
                <w:sz w:val="16"/>
                <w:szCs w:val="16"/>
                <w:lang w:eastAsia="en-US"/>
              </w:rPr>
              <w:t>477,17</w:t>
            </w:r>
          </w:p>
        </w:tc>
      </w:tr>
    </w:tbl>
    <w:p w:rsidR="00B263F2" w:rsidRDefault="00B263F2" w:rsidP="00782B57">
      <w:pPr>
        <w:widowControl w:val="0"/>
        <w:overflowPunct w:val="0"/>
        <w:autoSpaceDE w:val="0"/>
        <w:autoSpaceDN w:val="0"/>
        <w:adjustRightInd w:val="0"/>
        <w:jc w:val="both"/>
        <w:rPr>
          <w:bCs/>
          <w:iCs/>
          <w:kern w:val="28"/>
          <w:sz w:val="22"/>
          <w:szCs w:val="22"/>
        </w:rPr>
      </w:pPr>
    </w:p>
    <w:p w:rsidR="000625C2" w:rsidRPr="000625C2" w:rsidRDefault="000625C2" w:rsidP="000625C2">
      <w:pPr>
        <w:jc w:val="both"/>
        <w:rPr>
          <w:sz w:val="22"/>
          <w:szCs w:val="22"/>
        </w:rPr>
      </w:pPr>
      <w:r w:rsidRPr="000625C2">
        <w:rPr>
          <w:sz w:val="22"/>
          <w:szCs w:val="22"/>
        </w:rPr>
        <w:t xml:space="preserve">Par ailleurs, </w:t>
      </w:r>
      <w:r>
        <w:rPr>
          <w:sz w:val="22"/>
          <w:szCs w:val="22"/>
        </w:rPr>
        <w:t xml:space="preserve">Mr </w:t>
      </w:r>
      <w:r w:rsidRPr="000625C2">
        <w:rPr>
          <w:sz w:val="22"/>
          <w:szCs w:val="22"/>
        </w:rPr>
        <w:t>le Maire indique que dans le cadre de l’élaboration du Plan Local d’Urbanisme intercommunal, la commune de Busloup a demandé la réalisation d’une étude permettant la modification du périmètre des monuments historiques relative à l’église située en centre-bourg. La CLECT a proposé de répartir le coût financier de la prise en charge de cette étude selon les modalités suivantes :</w:t>
      </w:r>
    </w:p>
    <w:p w:rsidR="000625C2" w:rsidRPr="000625C2" w:rsidRDefault="000625C2" w:rsidP="000625C2">
      <w:pPr>
        <w:pStyle w:val="Paragraphedeliste"/>
        <w:numPr>
          <w:ilvl w:val="0"/>
          <w:numId w:val="1"/>
        </w:numPr>
        <w:jc w:val="both"/>
        <w:rPr>
          <w:sz w:val="22"/>
          <w:szCs w:val="22"/>
        </w:rPr>
      </w:pPr>
      <w:r w:rsidRPr="000625C2">
        <w:rPr>
          <w:sz w:val="22"/>
          <w:szCs w:val="22"/>
        </w:rPr>
        <w:t>50 % du coût de l’étude pris en charge par la CPHV</w:t>
      </w:r>
    </w:p>
    <w:p w:rsidR="000625C2" w:rsidRPr="000625C2" w:rsidRDefault="000625C2" w:rsidP="000625C2">
      <w:pPr>
        <w:pStyle w:val="Paragraphedeliste"/>
        <w:numPr>
          <w:ilvl w:val="0"/>
          <w:numId w:val="1"/>
        </w:numPr>
        <w:jc w:val="both"/>
        <w:rPr>
          <w:sz w:val="22"/>
          <w:szCs w:val="22"/>
        </w:rPr>
      </w:pPr>
      <w:r w:rsidRPr="000625C2">
        <w:rPr>
          <w:sz w:val="22"/>
          <w:szCs w:val="22"/>
        </w:rPr>
        <w:t>50 % du coût de l’étude pris en charge par la commune de Busloup</w:t>
      </w:r>
    </w:p>
    <w:p w:rsidR="000625C2" w:rsidRPr="000625C2" w:rsidRDefault="000625C2" w:rsidP="000625C2">
      <w:pPr>
        <w:jc w:val="both"/>
        <w:rPr>
          <w:sz w:val="22"/>
          <w:szCs w:val="22"/>
        </w:rPr>
      </w:pPr>
    </w:p>
    <w:p w:rsidR="000625C2" w:rsidRPr="000625C2" w:rsidRDefault="000625C2" w:rsidP="000625C2">
      <w:pPr>
        <w:jc w:val="both"/>
        <w:rPr>
          <w:sz w:val="22"/>
          <w:szCs w:val="22"/>
        </w:rPr>
      </w:pPr>
      <w:r w:rsidRPr="000625C2">
        <w:rPr>
          <w:sz w:val="22"/>
          <w:szCs w:val="22"/>
        </w:rPr>
        <w:t xml:space="preserve">Après en avoir délibéré, </w:t>
      </w:r>
      <w:r w:rsidRPr="000625C2">
        <w:rPr>
          <w:i/>
          <w:color w:val="FF0000"/>
          <w:sz w:val="22"/>
          <w:szCs w:val="22"/>
        </w:rPr>
        <w:t>à l’unanimité de ses membres</w:t>
      </w:r>
      <w:r w:rsidRPr="000625C2">
        <w:rPr>
          <w:sz w:val="22"/>
          <w:szCs w:val="22"/>
        </w:rPr>
        <w:t>, le conseil municipal :</w:t>
      </w:r>
    </w:p>
    <w:p w:rsidR="000625C2" w:rsidRPr="000625C2" w:rsidRDefault="000625C2" w:rsidP="000625C2">
      <w:pPr>
        <w:pStyle w:val="Paragraphedeliste"/>
        <w:numPr>
          <w:ilvl w:val="0"/>
          <w:numId w:val="1"/>
        </w:numPr>
        <w:jc w:val="both"/>
        <w:rPr>
          <w:sz w:val="22"/>
          <w:szCs w:val="22"/>
        </w:rPr>
      </w:pPr>
      <w:r w:rsidRPr="000625C2">
        <w:rPr>
          <w:b/>
          <w:sz w:val="22"/>
          <w:szCs w:val="22"/>
        </w:rPr>
        <w:t>APPROUVE</w:t>
      </w:r>
      <w:r w:rsidRPr="000625C2">
        <w:rPr>
          <w:sz w:val="22"/>
          <w:szCs w:val="22"/>
        </w:rPr>
        <w:t xml:space="preserve"> le rapport de la CLECT de la CPHV en date du 9 juillet 2018 tel qu’annexé à la présente délibération,</w:t>
      </w:r>
    </w:p>
    <w:p w:rsidR="000625C2" w:rsidRPr="000625C2" w:rsidRDefault="000625C2" w:rsidP="000625C2">
      <w:pPr>
        <w:pStyle w:val="Paragraphedeliste"/>
        <w:numPr>
          <w:ilvl w:val="0"/>
          <w:numId w:val="1"/>
        </w:numPr>
        <w:jc w:val="both"/>
        <w:rPr>
          <w:sz w:val="22"/>
          <w:szCs w:val="22"/>
        </w:rPr>
      </w:pPr>
      <w:r w:rsidRPr="000625C2">
        <w:rPr>
          <w:b/>
          <w:sz w:val="22"/>
          <w:szCs w:val="22"/>
        </w:rPr>
        <w:t>ACCEPTE</w:t>
      </w:r>
      <w:r w:rsidRPr="000625C2">
        <w:rPr>
          <w:sz w:val="22"/>
          <w:szCs w:val="22"/>
        </w:rPr>
        <w:t xml:space="preserve"> les conclusions de la CLECT quant à l’évaluation des charges transférées à la CPHV du fait de l’intégration de la compétence GEMAPI à compter du 1</w:t>
      </w:r>
      <w:r w:rsidRPr="000625C2">
        <w:rPr>
          <w:sz w:val="22"/>
          <w:szCs w:val="22"/>
          <w:vertAlign w:val="superscript"/>
        </w:rPr>
        <w:t>er</w:t>
      </w:r>
      <w:r w:rsidRPr="000625C2">
        <w:rPr>
          <w:sz w:val="22"/>
          <w:szCs w:val="22"/>
        </w:rPr>
        <w:t xml:space="preserve"> janvier 2018,</w:t>
      </w:r>
    </w:p>
    <w:p w:rsidR="000625C2" w:rsidRPr="000625C2" w:rsidRDefault="000625C2" w:rsidP="000625C2">
      <w:pPr>
        <w:pStyle w:val="Paragraphedeliste"/>
        <w:numPr>
          <w:ilvl w:val="0"/>
          <w:numId w:val="1"/>
        </w:numPr>
        <w:jc w:val="both"/>
        <w:rPr>
          <w:sz w:val="22"/>
          <w:szCs w:val="22"/>
        </w:rPr>
      </w:pPr>
      <w:r w:rsidRPr="000625C2">
        <w:rPr>
          <w:b/>
          <w:sz w:val="22"/>
          <w:szCs w:val="22"/>
        </w:rPr>
        <w:t>ACCEPTE</w:t>
      </w:r>
      <w:r w:rsidRPr="000625C2">
        <w:rPr>
          <w:sz w:val="22"/>
          <w:szCs w:val="22"/>
        </w:rPr>
        <w:t xml:space="preserve"> la proposition de la CLECT pour la répartition du coût de l’étude concernant la modification du périmètre des monuments historiques sur la commune de BUSLOUP.</w:t>
      </w:r>
    </w:p>
    <w:p w:rsidR="00931496" w:rsidRDefault="00931496" w:rsidP="00782B57">
      <w:pPr>
        <w:widowControl w:val="0"/>
        <w:overflowPunct w:val="0"/>
        <w:autoSpaceDE w:val="0"/>
        <w:autoSpaceDN w:val="0"/>
        <w:adjustRightInd w:val="0"/>
        <w:jc w:val="both"/>
        <w:rPr>
          <w:bCs/>
          <w:iCs/>
          <w:kern w:val="28"/>
          <w:sz w:val="22"/>
          <w:szCs w:val="22"/>
        </w:rPr>
      </w:pPr>
    </w:p>
    <w:p w:rsidR="00D546AB" w:rsidRDefault="00D546AB" w:rsidP="00D546AB">
      <w:pPr>
        <w:widowControl w:val="0"/>
        <w:overflowPunct w:val="0"/>
        <w:autoSpaceDE w:val="0"/>
        <w:autoSpaceDN w:val="0"/>
        <w:adjustRightInd w:val="0"/>
        <w:jc w:val="both"/>
        <w:rPr>
          <w:b/>
          <w:bCs/>
          <w:iCs/>
          <w:kern w:val="28"/>
          <w:sz w:val="22"/>
          <w:szCs w:val="22"/>
          <w:u w:val="single"/>
        </w:rPr>
      </w:pPr>
      <w:r w:rsidRPr="00B900B5">
        <w:rPr>
          <w:b/>
          <w:bCs/>
          <w:iCs/>
          <w:kern w:val="28"/>
          <w:sz w:val="22"/>
          <w:szCs w:val="22"/>
          <w:u w:val="single"/>
        </w:rPr>
        <w:t>PRESENTATION DES RAPPORTS ANNUELS 2016 ET 2017 DU SPANC</w:t>
      </w:r>
    </w:p>
    <w:p w:rsidR="00D546AB" w:rsidRDefault="00D546AB" w:rsidP="00D546AB">
      <w:pPr>
        <w:widowControl w:val="0"/>
        <w:overflowPunct w:val="0"/>
        <w:autoSpaceDE w:val="0"/>
        <w:autoSpaceDN w:val="0"/>
        <w:adjustRightInd w:val="0"/>
        <w:jc w:val="both"/>
        <w:rPr>
          <w:b/>
          <w:bCs/>
          <w:iCs/>
          <w:kern w:val="28"/>
          <w:sz w:val="22"/>
          <w:szCs w:val="22"/>
          <w:u w:val="single"/>
        </w:rPr>
      </w:pPr>
    </w:p>
    <w:p w:rsidR="00D546AB" w:rsidRDefault="00D546AB" w:rsidP="00D546AB">
      <w:pPr>
        <w:widowControl w:val="0"/>
        <w:overflowPunct w:val="0"/>
        <w:autoSpaceDE w:val="0"/>
        <w:autoSpaceDN w:val="0"/>
        <w:adjustRightInd w:val="0"/>
        <w:jc w:val="both"/>
        <w:rPr>
          <w:bCs/>
          <w:iCs/>
          <w:kern w:val="28"/>
          <w:sz w:val="22"/>
          <w:szCs w:val="22"/>
        </w:rPr>
      </w:pPr>
      <w:r>
        <w:rPr>
          <w:bCs/>
          <w:iCs/>
          <w:kern w:val="28"/>
          <w:sz w:val="22"/>
          <w:szCs w:val="22"/>
        </w:rPr>
        <w:t>Mr le Maire présente à l’ensemble du conseil municipal, les rapports annuels 2016 et 2017 du Service Public d’Assainissement Non Collectif. Ces rapports doivent être présentés pour information par le Maire de chaque commune devant son conseil municipal avant le 31 décembre 2018.</w:t>
      </w:r>
    </w:p>
    <w:p w:rsidR="00D546AB" w:rsidRDefault="00D546AB" w:rsidP="00782B57">
      <w:pPr>
        <w:widowControl w:val="0"/>
        <w:overflowPunct w:val="0"/>
        <w:autoSpaceDE w:val="0"/>
        <w:autoSpaceDN w:val="0"/>
        <w:adjustRightInd w:val="0"/>
        <w:jc w:val="both"/>
        <w:rPr>
          <w:bCs/>
          <w:iCs/>
          <w:kern w:val="28"/>
          <w:sz w:val="22"/>
          <w:szCs w:val="22"/>
        </w:rPr>
      </w:pPr>
    </w:p>
    <w:p w:rsidR="00117DD2" w:rsidRDefault="00117DD2" w:rsidP="00117DD2">
      <w:pPr>
        <w:widowControl w:val="0"/>
        <w:overflowPunct w:val="0"/>
        <w:autoSpaceDE w:val="0"/>
        <w:autoSpaceDN w:val="0"/>
        <w:adjustRightInd w:val="0"/>
        <w:jc w:val="both"/>
        <w:rPr>
          <w:kern w:val="28"/>
          <w:sz w:val="22"/>
          <w:szCs w:val="22"/>
        </w:rPr>
      </w:pPr>
      <w:r>
        <w:rPr>
          <w:b/>
          <w:bCs/>
          <w:i/>
          <w:iCs/>
          <w:kern w:val="28"/>
          <w:sz w:val="22"/>
          <w:szCs w:val="22"/>
        </w:rPr>
        <w:t>L'ordre du jour étant épuisé, la séance est levée à 20h45.</w:t>
      </w:r>
    </w:p>
    <w:p w:rsidR="00117DD2" w:rsidRDefault="00117DD2" w:rsidP="00117DD2">
      <w:pPr>
        <w:widowControl w:val="0"/>
        <w:overflowPunct w:val="0"/>
        <w:autoSpaceDE w:val="0"/>
        <w:autoSpaceDN w:val="0"/>
        <w:adjustRightInd w:val="0"/>
        <w:jc w:val="both"/>
        <w:rPr>
          <w:color w:val="0070C0"/>
          <w:kern w:val="28"/>
          <w:sz w:val="22"/>
          <w:szCs w:val="22"/>
        </w:rPr>
      </w:pPr>
    </w:p>
    <w:p w:rsidR="00117DD2" w:rsidRDefault="00117DD2" w:rsidP="00117DD2">
      <w:pPr>
        <w:widowControl w:val="0"/>
        <w:overflowPunct w:val="0"/>
        <w:autoSpaceDE w:val="0"/>
        <w:autoSpaceDN w:val="0"/>
        <w:adjustRightInd w:val="0"/>
        <w:jc w:val="both"/>
        <w:rPr>
          <w:b/>
          <w:i/>
          <w:color w:val="0070C0"/>
          <w:kern w:val="28"/>
          <w:sz w:val="22"/>
          <w:szCs w:val="22"/>
        </w:rPr>
      </w:pPr>
    </w:p>
    <w:p w:rsidR="00117DD2" w:rsidRDefault="00117DD2" w:rsidP="00117DD2"/>
    <w:p w:rsidR="00666457" w:rsidRDefault="003A118D"/>
    <w:sectPr w:rsidR="00666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162C"/>
    <w:multiLevelType w:val="hybridMultilevel"/>
    <w:tmpl w:val="95B26602"/>
    <w:lvl w:ilvl="0" w:tplc="BC3A7546">
      <w:start w:val="1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D2"/>
    <w:rsid w:val="000625C2"/>
    <w:rsid w:val="00117DD2"/>
    <w:rsid w:val="00132FFA"/>
    <w:rsid w:val="001639DE"/>
    <w:rsid w:val="002E04E0"/>
    <w:rsid w:val="00305615"/>
    <w:rsid w:val="003A118D"/>
    <w:rsid w:val="004D564C"/>
    <w:rsid w:val="00591AFE"/>
    <w:rsid w:val="005A23D5"/>
    <w:rsid w:val="0066383A"/>
    <w:rsid w:val="00782B57"/>
    <w:rsid w:val="00931496"/>
    <w:rsid w:val="00A36CDC"/>
    <w:rsid w:val="00A63634"/>
    <w:rsid w:val="00B263F2"/>
    <w:rsid w:val="00B900B5"/>
    <w:rsid w:val="00BC051F"/>
    <w:rsid w:val="00C75B03"/>
    <w:rsid w:val="00D546AB"/>
    <w:rsid w:val="00EE5F22"/>
    <w:rsid w:val="00F62721"/>
    <w:rsid w:val="00F647A1"/>
    <w:rsid w:val="00FB1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5CBB"/>
  <w15:chartTrackingRefBased/>
  <w15:docId w15:val="{70967C8F-2F9F-4FFD-92CE-99F2E25E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DD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17D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phedeliste">
    <w:name w:val="List Paragraph"/>
    <w:basedOn w:val="Normal"/>
    <w:uiPriority w:val="34"/>
    <w:qFormat/>
    <w:rsid w:val="0006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6883">
      <w:bodyDiv w:val="1"/>
      <w:marLeft w:val="0"/>
      <w:marRight w:val="0"/>
      <w:marTop w:val="0"/>
      <w:marBottom w:val="0"/>
      <w:divBdr>
        <w:top w:val="none" w:sz="0" w:space="0" w:color="auto"/>
        <w:left w:val="none" w:sz="0" w:space="0" w:color="auto"/>
        <w:bottom w:val="none" w:sz="0" w:space="0" w:color="auto"/>
        <w:right w:val="none" w:sz="0" w:space="0" w:color="auto"/>
      </w:divBdr>
    </w:div>
    <w:div w:id="678122610">
      <w:bodyDiv w:val="1"/>
      <w:marLeft w:val="0"/>
      <w:marRight w:val="0"/>
      <w:marTop w:val="0"/>
      <w:marBottom w:val="0"/>
      <w:divBdr>
        <w:top w:val="none" w:sz="0" w:space="0" w:color="auto"/>
        <w:left w:val="none" w:sz="0" w:space="0" w:color="auto"/>
        <w:bottom w:val="none" w:sz="0" w:space="0" w:color="auto"/>
        <w:right w:val="none" w:sz="0" w:space="0" w:color="auto"/>
      </w:divBdr>
    </w:div>
    <w:div w:id="779108847">
      <w:bodyDiv w:val="1"/>
      <w:marLeft w:val="0"/>
      <w:marRight w:val="0"/>
      <w:marTop w:val="0"/>
      <w:marBottom w:val="0"/>
      <w:divBdr>
        <w:top w:val="none" w:sz="0" w:space="0" w:color="auto"/>
        <w:left w:val="none" w:sz="0" w:space="0" w:color="auto"/>
        <w:bottom w:val="none" w:sz="0" w:space="0" w:color="auto"/>
        <w:right w:val="none" w:sz="0" w:space="0" w:color="auto"/>
      </w:divBdr>
    </w:div>
    <w:div w:id="16437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2018-08-03T07:55:00Z</cp:lastPrinted>
  <dcterms:created xsi:type="dcterms:W3CDTF">2018-07-24T13:42:00Z</dcterms:created>
  <dcterms:modified xsi:type="dcterms:W3CDTF">2018-08-03T07:55:00Z</dcterms:modified>
</cp:coreProperties>
</file>